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购机者将预登记申请提交为正式申请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操作手册</w:t>
      </w:r>
    </w:p>
    <w:p>
      <w:pPr>
        <w:jc w:val="center"/>
        <w:rPr>
          <w:b/>
          <w:sz w:val="44"/>
          <w:szCs w:val="44"/>
        </w:rPr>
      </w:pPr>
    </w:p>
    <w:p>
      <w:pPr>
        <w:ind w:firstLine="567" w:firstLineChars="202"/>
        <w:jc w:val="left"/>
        <w:rPr>
          <w:b/>
          <w:sz w:val="28"/>
        </w:rPr>
      </w:pPr>
      <w:r>
        <w:rPr>
          <w:rFonts w:hint="eastAsia"/>
          <w:b/>
          <w:sz w:val="28"/>
        </w:rPr>
        <w:t>1.预登记入口</w:t>
      </w:r>
    </w:p>
    <w:p>
      <w:pPr>
        <w:ind w:firstLine="565" w:firstLineChars="202"/>
        <w:jc w:val="left"/>
        <w:rPr>
          <w:sz w:val="28"/>
        </w:rPr>
      </w:pPr>
      <w:r>
        <w:rPr>
          <w:rFonts w:hint="eastAsia"/>
          <w:sz w:val="28"/>
        </w:rPr>
        <w:t>便利录入，预登记转为正式申请，点击“预登记查询”按钮，进入“预登记列表”。</w:t>
      </w:r>
    </w:p>
    <w:p>
      <w:pPr>
        <w:jc w:val="center"/>
      </w:pPr>
      <w:r>
        <w:drawing>
          <wp:inline distT="0" distB="0" distL="114300" distR="114300">
            <wp:extent cx="2315210" cy="5063490"/>
            <wp:effectExtent l="19050" t="0" r="8466" b="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634" cy="506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ind w:firstLine="567" w:firstLineChars="202"/>
        <w:jc w:val="left"/>
        <w:rPr>
          <w:b/>
          <w:sz w:val="28"/>
        </w:rPr>
      </w:pPr>
      <w:r>
        <w:rPr>
          <w:rFonts w:hint="eastAsia"/>
          <w:b/>
          <w:sz w:val="28"/>
        </w:rPr>
        <w:t>2.找到对应申请</w:t>
      </w:r>
    </w:p>
    <w:p>
      <w:pPr>
        <w:ind w:firstLine="565" w:firstLineChars="202"/>
        <w:jc w:val="left"/>
        <w:rPr>
          <w:sz w:val="28"/>
        </w:rPr>
      </w:pPr>
      <w:r>
        <w:rPr>
          <w:rFonts w:hint="eastAsia"/>
          <w:sz w:val="28"/>
        </w:rPr>
        <w:t>预登记列表，找到要转为正式申请的数据，点击进入详情。</w:t>
      </w:r>
    </w:p>
    <w:p>
      <w:pPr>
        <w:jc w:val="center"/>
      </w:pPr>
      <w:r>
        <w:drawing>
          <wp:inline distT="0" distB="0" distL="114300" distR="114300">
            <wp:extent cx="3075305" cy="6675755"/>
            <wp:effectExtent l="0" t="0" r="10795" b="10795"/>
            <wp:docPr id="2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true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305" cy="667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ind w:firstLine="567" w:firstLineChars="202"/>
        <w:jc w:val="left"/>
        <w:rPr>
          <w:b/>
          <w:sz w:val="28"/>
        </w:rPr>
      </w:pPr>
      <w:r>
        <w:rPr>
          <w:rFonts w:hint="eastAsia"/>
          <w:b/>
          <w:sz w:val="28"/>
        </w:rPr>
        <w:t>3.提交申请</w:t>
      </w:r>
    </w:p>
    <w:p>
      <w:pPr>
        <w:ind w:firstLine="565" w:firstLineChars="202"/>
        <w:jc w:val="left"/>
        <w:rPr>
          <w:sz w:val="28"/>
        </w:rPr>
      </w:pPr>
      <w:r>
        <w:rPr>
          <w:rFonts w:hint="eastAsia"/>
          <w:sz w:val="28"/>
        </w:rPr>
        <w:t>3.1点击最下方“提交申请”按钮，跳转到录入“个人申请”界面。</w:t>
      </w:r>
    </w:p>
    <w:p>
      <w:pPr>
        <w:jc w:val="center"/>
      </w:pPr>
      <w:r>
        <w:drawing>
          <wp:inline distT="0" distB="0" distL="114300" distR="114300">
            <wp:extent cx="3471545" cy="7506335"/>
            <wp:effectExtent l="0" t="0" r="14605" b="18415"/>
            <wp:docPr id="3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true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1545" cy="750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ind w:firstLine="565" w:firstLineChars="202"/>
        <w:jc w:val="left"/>
      </w:pPr>
      <w:r>
        <w:rPr>
          <w:rFonts w:hint="eastAsia"/>
          <w:sz w:val="28"/>
        </w:rPr>
        <w:t>3.2点击“提交”按钮，跳转到“机具信息”界面。</w:t>
      </w:r>
      <w:r>
        <w:drawing>
          <wp:inline distT="0" distB="0" distL="114300" distR="114300">
            <wp:extent cx="3169920" cy="6780530"/>
            <wp:effectExtent l="0" t="0" r="11430" b="1270"/>
            <wp:docPr id="4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true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920" cy="678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5" w:firstLineChars="202"/>
        <w:jc w:val="left"/>
      </w:pPr>
      <w:r>
        <w:rPr>
          <w:rFonts w:hint="eastAsia" w:ascii="仿宋" w:hAnsi="仿宋" w:eastAsia="仿宋" w:cs="仿宋"/>
          <w:sz w:val="28"/>
          <w:szCs w:val="28"/>
        </w:rPr>
        <w:t>3.3“机具信息”界面点击“完成”按钮，提交为正式申请。</w:t>
      </w:r>
      <w:r>
        <w:drawing>
          <wp:inline distT="0" distB="0" distL="114300" distR="114300">
            <wp:extent cx="3224530" cy="6995795"/>
            <wp:effectExtent l="0" t="0" r="13970" b="14605"/>
            <wp:docPr id="5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true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4530" cy="699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5" w:firstLineChars="202"/>
        <w:jc w:val="left"/>
      </w:pPr>
      <w:r>
        <w:rPr>
          <w:rFonts w:hint="eastAsia" w:ascii="仿宋" w:hAnsi="仿宋" w:eastAsia="仿宋" w:cs="仿宋"/>
          <w:sz w:val="28"/>
          <w:szCs w:val="28"/>
        </w:rPr>
        <w:t>转为正式申请后，可在 “进度查询”中查看申请信息。</w:t>
      </w:r>
    </w:p>
    <w:p>
      <w:pPr>
        <w:jc w:val="left"/>
        <w:rPr>
          <w:rFonts w:ascii="仿宋_GB2312" w:eastAsia="仿宋_GB2312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24"/>
    <w:rsid w:val="000E532A"/>
    <w:rsid w:val="004E588F"/>
    <w:rsid w:val="004F2F51"/>
    <w:rsid w:val="00524024"/>
    <w:rsid w:val="005B447C"/>
    <w:rsid w:val="006270F1"/>
    <w:rsid w:val="006D5BA7"/>
    <w:rsid w:val="006D7B20"/>
    <w:rsid w:val="006F41E3"/>
    <w:rsid w:val="0073625F"/>
    <w:rsid w:val="0076360E"/>
    <w:rsid w:val="007915E5"/>
    <w:rsid w:val="007E125B"/>
    <w:rsid w:val="00837F03"/>
    <w:rsid w:val="00961C32"/>
    <w:rsid w:val="009D01A1"/>
    <w:rsid w:val="009E2F3B"/>
    <w:rsid w:val="00DB5990"/>
    <w:rsid w:val="00DD47EC"/>
    <w:rsid w:val="00E162E6"/>
    <w:rsid w:val="00F270C8"/>
    <w:rsid w:val="FDD7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仿宋_GB2312" w:asciiTheme="majorHAnsi" w:hAnsiTheme="majorHAnsi" w:cstheme="majorBidi"/>
      <w:b/>
      <w:bCs/>
      <w:sz w:val="30"/>
      <w:szCs w:val="32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仿宋_GB2312"/>
      <w:b/>
      <w:bCs/>
      <w:sz w:val="28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标题 1 Char"/>
    <w:basedOn w:val="11"/>
    <w:link w:val="2"/>
    <w:qFormat/>
    <w:uiPriority w:val="0"/>
    <w:rPr>
      <w:rFonts w:eastAsia="仿宋_GB2312"/>
      <w:b/>
      <w:bCs/>
      <w:kern w:val="44"/>
      <w:sz w:val="32"/>
      <w:szCs w:val="44"/>
    </w:rPr>
  </w:style>
  <w:style w:type="character" w:customStyle="1" w:styleId="14">
    <w:name w:val="标题 2 Char"/>
    <w:basedOn w:val="11"/>
    <w:link w:val="3"/>
    <w:qFormat/>
    <w:uiPriority w:val="9"/>
    <w:rPr>
      <w:rFonts w:eastAsia="仿宋_GB2312" w:asciiTheme="majorHAnsi" w:hAnsiTheme="majorHAnsi" w:cstheme="majorBidi"/>
      <w:b/>
      <w:bCs/>
      <w:sz w:val="30"/>
      <w:szCs w:val="32"/>
    </w:rPr>
  </w:style>
  <w:style w:type="character" w:customStyle="1" w:styleId="15">
    <w:name w:val="标题 3 Char"/>
    <w:basedOn w:val="11"/>
    <w:link w:val="4"/>
    <w:qFormat/>
    <w:uiPriority w:val="9"/>
    <w:rPr>
      <w:rFonts w:eastAsia="仿宋_GB2312"/>
      <w:b/>
      <w:bCs/>
      <w:sz w:val="28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8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9">
    <w:name w:val="标题 Char"/>
    <w:basedOn w:val="11"/>
    <w:link w:val="9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0">
    <w:name w:val="No Spacing"/>
    <w:link w:val="21"/>
    <w:qFormat/>
    <w:uiPriority w:val="1"/>
    <w:pPr>
      <w:spacing w:line="240" w:lineRule="auto"/>
      <w:jc w:val="left"/>
    </w:pPr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21">
    <w:name w:val="无间隔 Char"/>
    <w:basedOn w:val="11"/>
    <w:link w:val="20"/>
    <w:qFormat/>
    <w:uiPriority w:val="1"/>
    <w:rPr>
      <w:kern w:val="0"/>
      <w:sz w:val="22"/>
    </w:rPr>
  </w:style>
  <w:style w:type="character" w:customStyle="1" w:styleId="2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23">
    <w:name w:val="批注框文本 Char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35</Words>
  <Characters>204</Characters>
  <Lines>1</Lines>
  <Paragraphs>1</Paragraphs>
  <TotalTime>5</TotalTime>
  <ScaleCrop>false</ScaleCrop>
  <LinksUpToDate>false</LinksUpToDate>
  <CharactersWithSpaces>238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2022-12-09T11:26:00Z</dcterms:created>
  <dc:creator>Prl</dc:creator>
  <cp:lastModifiedBy>mawei</cp:lastModifiedBy>
  <dcterms:modified xsi:type="dcterms:W3CDTF">2022-12-27T09:32:01Z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